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EAD" w:rsidRPr="00A441F9" w:rsidRDefault="00A40EAD" w:rsidP="00A40EAD">
      <w:pPr>
        <w:pStyle w:val="3GPPHeader"/>
        <w:spacing w:after="60"/>
        <w:rPr>
          <w:sz w:val="32"/>
          <w:szCs w:val="32"/>
        </w:rPr>
      </w:pPr>
      <w:r w:rsidRPr="00A441F9">
        <w:t>3GPP TSG-RAN #76</w:t>
      </w:r>
      <w:r w:rsidRPr="00A441F9">
        <w:tab/>
      </w:r>
      <w:r w:rsidRPr="00A441F9">
        <w:rPr>
          <w:sz w:val="32"/>
          <w:szCs w:val="32"/>
        </w:rPr>
        <w:t>RP-171251</w:t>
      </w:r>
    </w:p>
    <w:p w:rsidR="00A40EAD" w:rsidRPr="00A441F9" w:rsidRDefault="00A40EAD" w:rsidP="00A40EAD">
      <w:pPr>
        <w:pStyle w:val="CRCoverPage"/>
        <w:outlineLvl w:val="0"/>
        <w:rPr>
          <w:b/>
          <w:noProof/>
          <w:sz w:val="24"/>
        </w:rPr>
      </w:pPr>
      <w:r w:rsidRPr="00A441F9">
        <w:rPr>
          <w:b/>
          <w:noProof/>
          <w:sz w:val="24"/>
        </w:rPr>
        <w:t>West Palm Beach, Florida, USA 5 – 8 June 2017</w:t>
      </w:r>
    </w:p>
    <w:p w:rsidR="00A40EAD" w:rsidRPr="00A441F9" w:rsidRDefault="00A40EAD" w:rsidP="00A40EAD">
      <w:pPr>
        <w:pStyle w:val="3GPPHeader"/>
      </w:pPr>
    </w:p>
    <w:p w:rsidR="00A40EAD" w:rsidRPr="00A441F9" w:rsidRDefault="00A40EAD" w:rsidP="00A40EAD">
      <w:pPr>
        <w:pStyle w:val="3GPPHeader"/>
        <w:rPr>
          <w:sz w:val="22"/>
          <w:szCs w:val="22"/>
          <w:lang w:val="en-US"/>
        </w:rPr>
      </w:pPr>
      <w:r w:rsidRPr="00A441F9">
        <w:rPr>
          <w:sz w:val="22"/>
          <w:szCs w:val="22"/>
          <w:lang w:val="en-US"/>
        </w:rPr>
        <w:t>Agenda Item:</w:t>
      </w:r>
      <w:r w:rsidRPr="00A441F9">
        <w:rPr>
          <w:sz w:val="22"/>
          <w:szCs w:val="22"/>
          <w:lang w:val="en-US"/>
        </w:rPr>
        <w:tab/>
      </w:r>
      <w:r w:rsidR="004544EE">
        <w:rPr>
          <w:sz w:val="22"/>
          <w:szCs w:val="22"/>
          <w:lang w:val="en-US"/>
        </w:rPr>
        <w:t>10.6</w:t>
      </w:r>
    </w:p>
    <w:p w:rsidR="00A40EAD" w:rsidRPr="00A441F9" w:rsidRDefault="00A40EAD" w:rsidP="00A40EAD">
      <w:pPr>
        <w:pStyle w:val="3GPPHeader"/>
        <w:rPr>
          <w:sz w:val="22"/>
          <w:szCs w:val="22"/>
        </w:rPr>
      </w:pPr>
      <w:r w:rsidRPr="00A441F9">
        <w:rPr>
          <w:sz w:val="22"/>
          <w:szCs w:val="22"/>
        </w:rPr>
        <w:t>Source:</w:t>
      </w:r>
      <w:r w:rsidRPr="00A441F9">
        <w:rPr>
          <w:sz w:val="22"/>
          <w:szCs w:val="22"/>
        </w:rPr>
        <w:tab/>
        <w:t>Ericsson</w:t>
      </w:r>
    </w:p>
    <w:p w:rsidR="00A40EAD" w:rsidRPr="00B1377F" w:rsidRDefault="00A40EAD" w:rsidP="00A40EAD">
      <w:pPr>
        <w:pStyle w:val="3GPPHeader"/>
        <w:rPr>
          <w:sz w:val="22"/>
          <w:szCs w:val="22"/>
        </w:rPr>
      </w:pPr>
      <w:r w:rsidRPr="00A441F9">
        <w:rPr>
          <w:sz w:val="22"/>
          <w:szCs w:val="22"/>
        </w:rPr>
        <w:t>Title:</w:t>
      </w:r>
      <w:r w:rsidRPr="00A441F9">
        <w:rPr>
          <w:sz w:val="22"/>
          <w:szCs w:val="22"/>
        </w:rPr>
        <w:tab/>
        <w:t>EUTRAN Sharing enhancement</w:t>
      </w:r>
    </w:p>
    <w:p w:rsidR="00E90E49" w:rsidRPr="00CE0424" w:rsidRDefault="00A40EAD" w:rsidP="00D546FF">
      <w:pPr>
        <w:pStyle w:val="3GPPHeader"/>
        <w:rPr>
          <w:sz w:val="22"/>
          <w:szCs w:val="22"/>
        </w:rPr>
      </w:pPr>
      <w:r w:rsidRPr="00B1377F">
        <w:rPr>
          <w:sz w:val="22"/>
          <w:szCs w:val="22"/>
        </w:rPr>
        <w:t>Document for:</w:t>
      </w:r>
      <w:r w:rsidRPr="00B1377F">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DA1A8A" w:rsidRPr="00CE0424" w:rsidRDefault="00B301A0" w:rsidP="00DA1A8A">
      <w:pPr>
        <w:pStyle w:val="BodyText"/>
      </w:pPr>
      <w:r>
        <w:t xml:space="preserve">RAN plenary has received a technically endorsed set of CRs from RAN2 regarding E-UTRAN sharing and has </w:t>
      </w:r>
      <w:r w:rsidR="00701A37">
        <w:t xml:space="preserve">initiated </w:t>
      </w:r>
      <w:r>
        <w:t>LS correspondence between RAN2, RAN3, SA and SA2 related to this topic.</w:t>
      </w:r>
      <w:r w:rsidR="008462D9">
        <w:t xml:space="preserve"> The RAN2 CRs are removing a limitation </w:t>
      </w:r>
      <w:r w:rsidR="00C169B1">
        <w:t xml:space="preserve">in </w:t>
      </w:r>
      <w:r w:rsidR="008462D9">
        <w:t xml:space="preserve">LTE which </w:t>
      </w:r>
      <w:r w:rsidR="00C169B1">
        <w:t>makes it impossible to send TACs and cell IDs per PLMN.</w:t>
      </w:r>
    </w:p>
    <w:p w:rsidR="001643A8" w:rsidRDefault="004000E8" w:rsidP="00CE0424">
      <w:pPr>
        <w:pStyle w:val="Heading1"/>
      </w:pPr>
      <w:bookmarkStart w:id="0" w:name="_Ref178064866"/>
      <w:r w:rsidRPr="00CE0424">
        <w:t>Discussion</w:t>
      </w:r>
      <w:bookmarkEnd w:id="0"/>
    </w:p>
    <w:p w:rsidR="009E1D32" w:rsidRDefault="0078758D" w:rsidP="0078758D">
      <w:r>
        <w:t xml:space="preserve">Current </w:t>
      </w:r>
      <w:r w:rsidR="00C169B1">
        <w:t xml:space="preserve">LTE </w:t>
      </w:r>
      <w:r>
        <w:t xml:space="preserve">specifications </w:t>
      </w:r>
      <w:r w:rsidR="00C169B1">
        <w:t xml:space="preserve">has a limitation for RAN sharing in that all PLMNs sharing a network resource must use the </w:t>
      </w:r>
      <w:r>
        <w:t>same TAC</w:t>
      </w:r>
      <w:r w:rsidR="00C169B1">
        <w:t xml:space="preserve"> and </w:t>
      </w:r>
      <w:r w:rsidR="009A5237">
        <w:t>cell</w:t>
      </w:r>
      <w:r>
        <w:t xml:space="preserve"> identity. </w:t>
      </w:r>
      <w:r w:rsidR="00C169B1">
        <w:t xml:space="preserve">This forces the operators sharing the network </w:t>
      </w:r>
      <w:r>
        <w:t xml:space="preserve">to coordinate and agree on </w:t>
      </w:r>
      <w:r w:rsidR="00C169B1">
        <w:t>common values for these parameters</w:t>
      </w:r>
      <w:r>
        <w:t xml:space="preserve">. This coordination is an unnecessary burden that can be avoided with </w:t>
      </w:r>
      <w:r w:rsidR="00DA1A8A">
        <w:t xml:space="preserve">RRC </w:t>
      </w:r>
      <w:r>
        <w:t xml:space="preserve">specification </w:t>
      </w:r>
      <w:r w:rsidR="00DA1A8A">
        <w:t xml:space="preserve">message encoding </w:t>
      </w:r>
      <w:r>
        <w:t>improvements.</w:t>
      </w:r>
    </w:p>
    <w:p w:rsidR="00C169B1" w:rsidRDefault="00C169B1" w:rsidP="0078758D"/>
    <w:p w:rsidR="009E1D32" w:rsidRDefault="009E1D32" w:rsidP="0078758D">
      <w:r w:rsidRPr="00C169B1">
        <w:rPr>
          <w:b/>
        </w:rPr>
        <w:t>The following has happened</w:t>
      </w:r>
      <w:r>
        <w:t>:</w:t>
      </w:r>
    </w:p>
    <w:p w:rsidR="008462D9" w:rsidRDefault="009E1D32" w:rsidP="00306386">
      <w:pPr>
        <w:pStyle w:val="ListParagraph"/>
        <w:numPr>
          <w:ilvl w:val="0"/>
          <w:numId w:val="27"/>
        </w:numPr>
      </w:pPr>
      <w:r>
        <w:t>RAN2 sent an LS to SA2, RAN3, SA and RAN indicating that they aimed remove a limitat</w:t>
      </w:r>
      <w:r w:rsidR="00561D18">
        <w:t>i</w:t>
      </w:r>
      <w:r>
        <w:t>on that all PLMNs sharing an eNB must use the same TAC, cell identity and CSG identity [1]. In the LS, RAN2 requested SA2 and RAN3 to provide their view on this and in particular</w:t>
      </w:r>
      <w:r w:rsidR="00CF1F53">
        <w:t>,</w:t>
      </w:r>
      <w:r>
        <w:t xml:space="preserve"> if SA2 and RAN3 saw it possible to introduce this feature in Rel-14 and req</w:t>
      </w:r>
      <w:r w:rsidR="00C169B1">
        <w:t>u</w:t>
      </w:r>
      <w:r>
        <w:t>ested SA2 and RAN3 to update their specifications</w:t>
      </w:r>
      <w:r w:rsidR="00C169B1">
        <w:t>,</w:t>
      </w:r>
      <w:r>
        <w:t xml:space="preserve"> if needed.</w:t>
      </w:r>
    </w:p>
    <w:p w:rsidR="008462D9" w:rsidRDefault="008462D9" w:rsidP="008462D9">
      <w:pPr>
        <w:pStyle w:val="ListParagraph"/>
      </w:pPr>
    </w:p>
    <w:p w:rsidR="009E1D32" w:rsidRDefault="009E1D32" w:rsidP="00561D18">
      <w:pPr>
        <w:pStyle w:val="ListParagraph"/>
        <w:numPr>
          <w:ilvl w:val="0"/>
          <w:numId w:val="27"/>
        </w:numPr>
      </w:pPr>
      <w:r>
        <w:t xml:space="preserve">SA2 </w:t>
      </w:r>
      <w:r w:rsidR="008462D9">
        <w:t>responded in their LS [</w:t>
      </w:r>
      <w:r w:rsidR="00A40EAD">
        <w:t>4</w:t>
      </w:r>
      <w:r w:rsidR="008462D9">
        <w:t xml:space="preserve">] that they have </w:t>
      </w:r>
      <w:r>
        <w:t>not found any technical issues in adopting the proposal</w:t>
      </w:r>
      <w:r w:rsidR="008462D9">
        <w:t xml:space="preserve"> </w:t>
      </w:r>
      <w:r w:rsidR="00F911CE">
        <w:t xml:space="preserve">for MOCN network sharing </w:t>
      </w:r>
      <w:r w:rsidR="008462D9">
        <w:t>and indicates that the approach is feasible. SA2 provided some observations on the solution:</w:t>
      </w:r>
    </w:p>
    <w:p w:rsidR="008462D9" w:rsidRDefault="008462D9" w:rsidP="008462D9">
      <w:pPr>
        <w:pStyle w:val="ListParagraph"/>
      </w:pPr>
    </w:p>
    <w:p w:rsidR="008462D9" w:rsidRDefault="008462D9" w:rsidP="008462D9">
      <w:pPr>
        <w:numPr>
          <w:ilvl w:val="0"/>
          <w:numId w:val="28"/>
        </w:numPr>
        <w:overflowPunct/>
        <w:autoSpaceDE/>
        <w:autoSpaceDN/>
        <w:adjustRightInd/>
        <w:jc w:val="left"/>
        <w:textAlignment w:val="auto"/>
        <w:rPr>
          <w:rFonts w:cs="Arial"/>
        </w:rPr>
      </w:pPr>
      <w:r>
        <w:rPr>
          <w:rFonts w:cs="Arial"/>
        </w:rPr>
        <w:t>Each PLMN ID is associated with specific MME as per MOCN and will only see single PLMN and associated information for the UE.</w:t>
      </w:r>
    </w:p>
    <w:p w:rsidR="008462D9" w:rsidRPr="006A14C3" w:rsidRDefault="008462D9" w:rsidP="008462D9">
      <w:pPr>
        <w:numPr>
          <w:ilvl w:val="0"/>
          <w:numId w:val="28"/>
        </w:numPr>
        <w:overflowPunct/>
        <w:autoSpaceDE/>
        <w:autoSpaceDN/>
        <w:adjustRightInd/>
        <w:jc w:val="left"/>
        <w:textAlignment w:val="auto"/>
        <w:rPr>
          <w:rFonts w:cs="Arial"/>
        </w:rPr>
      </w:pPr>
      <w:r w:rsidRPr="006A14C3">
        <w:rPr>
          <w:rFonts w:cs="Arial"/>
          <w:lang w:val="en-US"/>
        </w:rPr>
        <w:t>This feature should only be used on frequencies where it can be ensured that no pre-release 14 UEs are present.</w:t>
      </w:r>
    </w:p>
    <w:p w:rsidR="008462D9" w:rsidRDefault="008462D9" w:rsidP="008462D9">
      <w:pPr>
        <w:numPr>
          <w:ilvl w:val="0"/>
          <w:numId w:val="28"/>
        </w:numPr>
        <w:overflowPunct/>
        <w:autoSpaceDE/>
        <w:autoSpaceDN/>
        <w:adjustRightInd/>
        <w:jc w:val="left"/>
        <w:textAlignment w:val="auto"/>
        <w:rPr>
          <w:rFonts w:cs="Arial"/>
        </w:rPr>
      </w:pPr>
      <w:r>
        <w:rPr>
          <w:rFonts w:cs="Arial"/>
        </w:rPr>
        <w:t>The total number of PLMNs supported by the PLMN operators remain the same.</w:t>
      </w:r>
    </w:p>
    <w:p w:rsidR="008462D9" w:rsidRPr="00A40EAD" w:rsidRDefault="008462D9" w:rsidP="008462D9">
      <w:pPr>
        <w:pStyle w:val="ListParagraph"/>
        <w:numPr>
          <w:ilvl w:val="0"/>
          <w:numId w:val="28"/>
        </w:numPr>
      </w:pPr>
      <w:r>
        <w:rPr>
          <w:rFonts w:cs="Arial"/>
        </w:rPr>
        <w:t xml:space="preserve">For each new PLMN added, </w:t>
      </w:r>
      <w:r w:rsidRPr="0063517F">
        <w:rPr>
          <w:rFonts w:cs="Arial"/>
        </w:rPr>
        <w:t>the services supported (e.g. eCall over IMS, emergency support indication etc</w:t>
      </w:r>
      <w:r>
        <w:rPr>
          <w:rFonts w:cs="Arial"/>
        </w:rPr>
        <w:t>.</w:t>
      </w:r>
      <w:r w:rsidRPr="0063517F">
        <w:rPr>
          <w:rFonts w:cs="Arial"/>
        </w:rPr>
        <w:t>) are as per existing E</w:t>
      </w:r>
      <w:r>
        <w:rPr>
          <w:rFonts w:cs="Arial"/>
        </w:rPr>
        <w:t>UTRAN MOCN sharing operation i.e</w:t>
      </w:r>
      <w:r w:rsidRPr="0063517F">
        <w:rPr>
          <w:rFonts w:cs="Arial"/>
        </w:rPr>
        <w:t>. the indicators that are PLMN specific will remain PLMN specific, the ones that are cell specific will remain cell specific</w:t>
      </w:r>
      <w:r>
        <w:rPr>
          <w:rFonts w:cs="Arial"/>
        </w:rPr>
        <w:t>.</w:t>
      </w:r>
    </w:p>
    <w:p w:rsidR="00CF1F53" w:rsidRPr="00A40EAD" w:rsidRDefault="00CF1F53" w:rsidP="00A47EC0">
      <w:pPr>
        <w:pStyle w:val="ListParagraph"/>
        <w:ind w:left="1440"/>
      </w:pPr>
    </w:p>
    <w:p w:rsidR="00CF1F53" w:rsidRDefault="00CF1F53" w:rsidP="008462D9">
      <w:pPr>
        <w:pStyle w:val="ListParagraph"/>
        <w:numPr>
          <w:ilvl w:val="0"/>
          <w:numId w:val="28"/>
        </w:numPr>
      </w:pPr>
      <w:r>
        <w:rPr>
          <w:rFonts w:cs="Arial"/>
        </w:rPr>
        <w:t>SA2 also indicated that they will update their specifications, if needed, as per RAN plenary decision.</w:t>
      </w:r>
    </w:p>
    <w:p w:rsidR="008462D9" w:rsidRDefault="008462D9" w:rsidP="008462D9">
      <w:pPr>
        <w:pStyle w:val="ListParagraph"/>
      </w:pPr>
    </w:p>
    <w:p w:rsidR="008462D9" w:rsidRDefault="008462D9" w:rsidP="008462D9">
      <w:pPr>
        <w:pStyle w:val="ListParagraph"/>
        <w:numPr>
          <w:ilvl w:val="0"/>
          <w:numId w:val="27"/>
        </w:numPr>
      </w:pPr>
      <w:r>
        <w:t>RAN3 responded in [</w:t>
      </w:r>
      <w:r w:rsidR="00A40EAD">
        <w:t>5</w:t>
      </w:r>
      <w:r>
        <w:t xml:space="preserve">] that they have not analysed the proposal but </w:t>
      </w:r>
      <w:r w:rsidR="00C169B1">
        <w:t xml:space="preserve">that </w:t>
      </w:r>
      <w:r>
        <w:t xml:space="preserve">they </w:t>
      </w:r>
      <w:r w:rsidR="00C169B1">
        <w:t xml:space="preserve">can address </w:t>
      </w:r>
      <w:r>
        <w:t>possible impact (if any) in a later RAN3 meeting.</w:t>
      </w:r>
    </w:p>
    <w:p w:rsidR="008462D9" w:rsidRDefault="008462D9" w:rsidP="008462D9">
      <w:pPr>
        <w:pStyle w:val="ListParagraph"/>
      </w:pPr>
    </w:p>
    <w:p w:rsidR="00DB0250" w:rsidRDefault="008462D9" w:rsidP="00C92CDB">
      <w:pPr>
        <w:pStyle w:val="ListParagraph"/>
        <w:numPr>
          <w:ilvl w:val="0"/>
          <w:numId w:val="27"/>
        </w:numPr>
      </w:pPr>
      <w:r>
        <w:t>RAN2 later technically endorsed CRs [2][3] which removes this limitation however CSG identities was removed from the proposal. The CRs allow SIB1 to provide TAC and cell identity per PLMN (or set of PLMNs). The RAN2 CRs also are in line with the SA2 observations.</w:t>
      </w:r>
    </w:p>
    <w:p w:rsidR="009E1D32" w:rsidRDefault="009E1D32" w:rsidP="009E1D32"/>
    <w:p w:rsidR="008462D9" w:rsidRDefault="008462D9" w:rsidP="008462D9">
      <w:pPr>
        <w:pStyle w:val="Heading2"/>
      </w:pPr>
      <w:r>
        <w:t xml:space="preserve">Analysis of </w:t>
      </w:r>
      <w:r w:rsidR="00C169B1">
        <w:t xml:space="preserve">impact from </w:t>
      </w:r>
      <w:r>
        <w:t>RAN3</w:t>
      </w:r>
      <w:r w:rsidR="005F19BF">
        <w:t xml:space="preserve"> and SA5</w:t>
      </w:r>
      <w:r>
        <w:t xml:space="preserve"> point of view</w:t>
      </w:r>
    </w:p>
    <w:p w:rsidR="00D54071" w:rsidRPr="00A47EC0" w:rsidRDefault="00D54071" w:rsidP="009E1D32">
      <w:r w:rsidRPr="00A47EC0">
        <w:t xml:space="preserve">Although time was limited in RAN3 to finalise an analysis of the proposed enhancements, the proposal was nevertheless discussed. It has been outlined, that </w:t>
      </w:r>
    </w:p>
    <w:p w:rsidR="00D54071" w:rsidRPr="00A47EC0" w:rsidRDefault="00D54071" w:rsidP="00A47EC0">
      <w:pPr>
        <w:pStyle w:val="B1"/>
      </w:pPr>
      <w:r w:rsidRPr="00A47EC0">
        <w:t>-</w:t>
      </w:r>
      <w:r w:rsidRPr="00A47EC0">
        <w:tab/>
        <w:t>a cell broadcasting different (sets of) ECGIs, TACs and the corresponding PLMN in an SIB1 extension, would be, from a logical point of view, seen as different cells by the UE.</w:t>
      </w:r>
    </w:p>
    <w:p w:rsidR="00D54071" w:rsidRPr="00A47EC0" w:rsidRDefault="00D54071" w:rsidP="00A47EC0">
      <w:pPr>
        <w:pStyle w:val="B1"/>
      </w:pPr>
      <w:r w:rsidRPr="00A47EC0">
        <w:t>-</w:t>
      </w:r>
      <w:r w:rsidRPr="00A47EC0">
        <w:tab/>
        <w:t xml:space="preserve">such would correspond to the fact that these logically distinguishable cells are served by different logical eNBs, although those cells utilise the same physical resource and the logical eNBs are most likely implemented in the same (physical network entity). As an E-UTRA Cell Global Identity is defined to usually contain an eNB Identity in its 20 MSBs, it is expected that the ECGI value </w:t>
      </w:r>
      <w:r w:rsidR="00110569" w:rsidRPr="00A47EC0">
        <w:t>is chosen accordingly.</w:t>
      </w:r>
    </w:p>
    <w:p w:rsidR="008462D9" w:rsidRDefault="00D54071" w:rsidP="00A47EC0">
      <w:pPr>
        <w:pStyle w:val="B1"/>
      </w:pPr>
      <w:r w:rsidRPr="00A47EC0">
        <w:t>-</w:t>
      </w:r>
      <w:r w:rsidRPr="00A47EC0">
        <w:tab/>
        <w:t>different logical eNBs</w:t>
      </w:r>
      <w:r w:rsidR="00110569">
        <w:t>, one per operator,</w:t>
      </w:r>
      <w:r w:rsidRPr="00A47EC0">
        <w:t xml:space="preserve"> would then result </w:t>
      </w:r>
      <w:r w:rsidR="00110569">
        <w:t xml:space="preserve">separated, per-operator E-UTRANs, </w:t>
      </w:r>
      <w:r w:rsidRPr="00A47EC0">
        <w:t>wher</w:t>
      </w:r>
      <w:r w:rsidR="00110569" w:rsidRPr="00A40EAD">
        <w:t>e each logical eNB would S1-MME-</w:t>
      </w:r>
      <w:r w:rsidRPr="00A47EC0">
        <w:t xml:space="preserve">connect to the corresponding operator’s </w:t>
      </w:r>
      <w:r w:rsidR="00110569">
        <w:t xml:space="preserve">core </w:t>
      </w:r>
      <w:r w:rsidRPr="00A47EC0">
        <w:t>network, also X2 connectivity would be configured per operator.</w:t>
      </w:r>
    </w:p>
    <w:p w:rsidR="00927532" w:rsidRDefault="00110569" w:rsidP="005F19BF">
      <w:r>
        <w:t>From that short analysis we believe that the proposed enhancement is transparent to the current E-UTRAN architecture definition and related protocol functions. We conclude that there is indeed no immediate impact to RAN3 wo</w:t>
      </w:r>
      <w:r w:rsidR="009A10B1">
        <w:t>rk.</w:t>
      </w:r>
    </w:p>
    <w:p w:rsidR="005F19BF" w:rsidRDefault="005F19BF" w:rsidP="005F19BF"/>
    <w:p w:rsidR="00C169B1" w:rsidRDefault="00927532" w:rsidP="009E1D32">
      <w:r>
        <w:t xml:space="preserve">With the approach chosen in the CRs, the management systems of the various operators sharing this single physical RAN equipment do not need to </w:t>
      </w:r>
      <w:r w:rsidR="00CD155C">
        <w:t xml:space="preserve">coordinate </w:t>
      </w:r>
      <w:r>
        <w:t xml:space="preserve">numbering plans of other operators, e.g. align TAC assignment, eNodeB/cell identifiers and such. </w:t>
      </w:r>
      <w:r w:rsidR="00CD155C">
        <w:t>S</w:t>
      </w:r>
      <w:r>
        <w:t>o if done right, this single physical RAN equipment can be seen as logically in</w:t>
      </w:r>
      <w:bookmarkStart w:id="1" w:name="_GoBack"/>
      <w:bookmarkEnd w:id="1"/>
      <w:r>
        <w:t>dependent RAN nodes.</w:t>
      </w:r>
      <w:r w:rsidR="00CD155C">
        <w:t xml:space="preserve"> Hence we </w:t>
      </w:r>
      <w:r w:rsidR="005F19BF">
        <w:t xml:space="preserve">conclude also that there is no immediate </w:t>
      </w:r>
      <w:r w:rsidR="00CD155C">
        <w:t xml:space="preserve">SA5 impact </w:t>
      </w:r>
      <w:r w:rsidR="005F19BF">
        <w:t>of the proposal</w:t>
      </w:r>
      <w:r w:rsidR="00CD155C">
        <w:t>.</w:t>
      </w:r>
    </w:p>
    <w:p w:rsidR="005F19BF" w:rsidRDefault="005F19BF" w:rsidP="005F19BF">
      <w:pPr>
        <w:pStyle w:val="Observation"/>
      </w:pPr>
      <w:r>
        <w:t>There is no immediate RAN3 or SA5 impact of the proposed enhancement.</w:t>
      </w:r>
    </w:p>
    <w:p w:rsidR="005F19BF" w:rsidRDefault="005F19BF" w:rsidP="009E1D32"/>
    <w:p w:rsidR="00C169B1" w:rsidRDefault="00C92CDB" w:rsidP="009E1D32">
      <w:r>
        <w:t>Based on the above we propose:</w:t>
      </w:r>
    </w:p>
    <w:p w:rsidR="0078758D" w:rsidRPr="00A04F49" w:rsidRDefault="009E1D32" w:rsidP="0078758D">
      <w:pPr>
        <w:pStyle w:val="Proposal"/>
      </w:pPr>
      <w:bookmarkStart w:id="2" w:name="_Toc483403426"/>
      <w:r>
        <w:t>Approve the RAN2 CRs</w:t>
      </w:r>
      <w:bookmarkEnd w:id="2"/>
      <w:r w:rsidR="00A92437">
        <w:t>.</w:t>
      </w:r>
    </w:p>
    <w:p w:rsidR="00C01F33" w:rsidRPr="00CE0424" w:rsidRDefault="00C01F33" w:rsidP="00CE0424">
      <w:pPr>
        <w:pStyle w:val="Heading1"/>
      </w:pPr>
      <w:r w:rsidRPr="00CE0424">
        <w:t>Conclusion</w:t>
      </w:r>
    </w:p>
    <w:p w:rsidR="00C169B1" w:rsidRDefault="008E065E" w:rsidP="008E065E">
      <w:pPr>
        <w:pStyle w:val="BodyText"/>
        <w:rPr>
          <w:noProof/>
        </w:rPr>
      </w:pPr>
      <w:r w:rsidRPr="00CE0424">
        <w:t xml:space="preserve">Based on the discussion in section </w:t>
      </w:r>
      <w:r w:rsidR="00447091" w:rsidRPr="00CE0424">
        <w:rPr>
          <w:highlight w:val="cyan"/>
        </w:rPr>
        <w:fldChar w:fldCharType="begin"/>
      </w:r>
      <w:r w:rsidRPr="00CE0424">
        <w:instrText xml:space="preserve"> REF _Ref178064866 \r \h </w:instrText>
      </w:r>
      <w:r w:rsidR="00447091" w:rsidRPr="00CE0424">
        <w:rPr>
          <w:highlight w:val="cyan"/>
        </w:rPr>
      </w:r>
      <w:r w:rsidR="00447091" w:rsidRPr="00CE0424">
        <w:rPr>
          <w:highlight w:val="cyan"/>
        </w:rPr>
        <w:fldChar w:fldCharType="separate"/>
      </w:r>
      <w:r w:rsidR="00B42BDB">
        <w:t>2</w:t>
      </w:r>
      <w:r w:rsidR="00447091" w:rsidRPr="00CE0424">
        <w:rPr>
          <w:highlight w:val="cyan"/>
        </w:rPr>
        <w:fldChar w:fldCharType="end"/>
      </w:r>
      <w:r w:rsidRPr="00CE0424">
        <w:t xml:space="preserve"> we propose the following:</w:t>
      </w:r>
      <w:r w:rsidR="00447091">
        <w:rPr>
          <w:b/>
          <w:bCs/>
        </w:rPr>
        <w:fldChar w:fldCharType="begin"/>
      </w:r>
      <w:r>
        <w:rPr>
          <w:b/>
          <w:bCs/>
        </w:rPr>
        <w:instrText xml:space="preserve"> TOC \f \n \p " " \t "Proposal;1" </w:instrText>
      </w:r>
      <w:r w:rsidR="00447091">
        <w:rPr>
          <w:b/>
          <w:bCs/>
        </w:rPr>
        <w:fldChar w:fldCharType="separate"/>
      </w:r>
    </w:p>
    <w:p w:rsidR="00C169B1" w:rsidRDefault="00C169B1">
      <w:pPr>
        <w:pStyle w:val="TOC1"/>
        <w:rPr>
          <w:rFonts w:asciiTheme="minorHAnsi" w:eastAsiaTheme="minorEastAsia" w:hAnsiTheme="minorHAnsi" w:cstheme="minorBidi"/>
          <w:b w:val="0"/>
          <w:sz w:val="22"/>
          <w:lang w:val="sv-SE"/>
        </w:rPr>
      </w:pPr>
      <w:r>
        <w:t>Proposal 1</w:t>
      </w:r>
      <w:r>
        <w:rPr>
          <w:rFonts w:asciiTheme="minorHAnsi" w:eastAsiaTheme="minorEastAsia" w:hAnsiTheme="minorHAnsi" w:cstheme="minorBidi"/>
          <w:b w:val="0"/>
          <w:sz w:val="22"/>
          <w:lang w:val="sv-SE"/>
        </w:rPr>
        <w:tab/>
      </w:r>
      <w:r>
        <w:t>Approve the RAN2 CRs</w:t>
      </w:r>
    </w:p>
    <w:p w:rsidR="00C01F33" w:rsidRPr="00DE3499" w:rsidRDefault="00447091" w:rsidP="006E062C">
      <w:pPr>
        <w:rPr>
          <w:b/>
          <w:bCs/>
        </w:rPr>
      </w:pPr>
      <w:r>
        <w:rPr>
          <w:b/>
          <w:bCs/>
        </w:rPr>
        <w:fldChar w:fldCharType="end"/>
      </w:r>
    </w:p>
    <w:p w:rsidR="00F507D1" w:rsidRPr="00CE0424" w:rsidRDefault="00F507D1" w:rsidP="00CE0424">
      <w:pPr>
        <w:pStyle w:val="Heading1"/>
      </w:pPr>
      <w:bookmarkStart w:id="3" w:name="_In-sequence_SDU_delivery"/>
      <w:bookmarkEnd w:id="3"/>
      <w:r w:rsidRPr="00CE0424">
        <w:t>References</w:t>
      </w:r>
    </w:p>
    <w:p w:rsidR="009E1D32" w:rsidRDefault="009E1D32" w:rsidP="009E1D32">
      <w:pPr>
        <w:pStyle w:val="Reference"/>
      </w:pPr>
      <w:bookmarkStart w:id="4" w:name="_Ref174151459"/>
      <w:bookmarkStart w:id="5" w:name="_Ref189809556"/>
      <w:r w:rsidRPr="009E1D32">
        <w:t>R2-1706003</w:t>
      </w:r>
      <w:r>
        <w:t xml:space="preserve">, </w:t>
      </w:r>
      <w:r w:rsidRPr="009E1D32">
        <w:t>LS on EUTRAN sharing enhancement</w:t>
      </w:r>
      <w:r>
        <w:t>, RAN2.</w:t>
      </w:r>
    </w:p>
    <w:p w:rsidR="009E1D32" w:rsidRPr="00A47EC0" w:rsidRDefault="009E1D32" w:rsidP="009E1D32">
      <w:pPr>
        <w:pStyle w:val="Reference"/>
      </w:pPr>
      <w:r w:rsidRPr="009E1D32">
        <w:t>R2-170</w:t>
      </w:r>
      <w:r w:rsidRPr="00A47EC0">
        <w:t xml:space="preserve">6167, </w:t>
      </w:r>
      <w:r w:rsidRPr="00A47EC0">
        <w:rPr>
          <w:noProof/>
        </w:rPr>
        <w:t>EUTRAN sharing enhancement, Ericsson et. al.</w:t>
      </w:r>
    </w:p>
    <w:p w:rsidR="009E1D32" w:rsidRPr="00A47EC0" w:rsidRDefault="009E1D32" w:rsidP="009E1D32">
      <w:pPr>
        <w:pStyle w:val="Reference"/>
      </w:pPr>
      <w:r w:rsidRPr="00A47EC0">
        <w:t xml:space="preserve">R2-1706168, </w:t>
      </w:r>
      <w:r w:rsidRPr="00A47EC0">
        <w:rPr>
          <w:noProof/>
        </w:rPr>
        <w:t>EUTRAN sharing enhancement, Ericsson et. al.</w:t>
      </w:r>
    </w:p>
    <w:p w:rsidR="008462D9" w:rsidRPr="00A47EC0" w:rsidRDefault="00560C69" w:rsidP="009E1D32">
      <w:pPr>
        <w:pStyle w:val="Reference"/>
      </w:pPr>
      <w:r w:rsidRPr="00A47EC0">
        <w:rPr>
          <w:noProof/>
        </w:rPr>
        <w:t xml:space="preserve">S2-173701, LS on EUTRAN sharing enhancement, </w:t>
      </w:r>
      <w:r w:rsidR="008462D9" w:rsidRPr="00A47EC0">
        <w:rPr>
          <w:noProof/>
        </w:rPr>
        <w:t>SA2</w:t>
      </w:r>
    </w:p>
    <w:p w:rsidR="00B301A0" w:rsidRPr="00B301A0" w:rsidRDefault="005A6A69" w:rsidP="00CE7E53">
      <w:pPr>
        <w:pStyle w:val="Reference"/>
      </w:pPr>
      <w:r w:rsidRPr="00A47EC0">
        <w:rPr>
          <w:noProof/>
        </w:rPr>
        <w:t xml:space="preserve">R3-172026, Reply </w:t>
      </w:r>
      <w:r w:rsidR="008462D9" w:rsidRPr="00A47EC0">
        <w:rPr>
          <w:noProof/>
        </w:rPr>
        <w:t>LS</w:t>
      </w:r>
      <w:r w:rsidRPr="00A47EC0">
        <w:rPr>
          <w:noProof/>
        </w:rPr>
        <w:t xml:space="preserve"> on EUTRAN sharing enhancement, RAN3</w:t>
      </w:r>
      <w:bookmarkEnd w:id="4"/>
      <w:bookmarkEnd w:id="5"/>
    </w:p>
    <w:sectPr w:rsidR="00B301A0" w:rsidRPr="00B301A0" w:rsidSect="00570E5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142" w:rsidRDefault="00BD0142">
      <w:r>
        <w:separator/>
      </w:r>
    </w:p>
  </w:endnote>
  <w:endnote w:type="continuationSeparator" w:id="0">
    <w:p w:rsidR="00BD0142" w:rsidRDefault="00BD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sidR="00447091">
      <w:rPr>
        <w:rStyle w:val="PageNumber"/>
      </w:rPr>
      <w:fldChar w:fldCharType="begin"/>
    </w:r>
    <w:r>
      <w:rPr>
        <w:rStyle w:val="PageNumber"/>
      </w:rPr>
      <w:instrText xml:space="preserve"> PAGE </w:instrText>
    </w:r>
    <w:r w:rsidR="00447091">
      <w:rPr>
        <w:rStyle w:val="PageNumber"/>
      </w:rPr>
      <w:fldChar w:fldCharType="separate"/>
    </w:r>
    <w:r w:rsidR="00673AB8">
      <w:rPr>
        <w:rStyle w:val="PageNumber"/>
      </w:rPr>
      <w:t>2</w:t>
    </w:r>
    <w:r w:rsidR="00447091">
      <w:rPr>
        <w:rStyle w:val="PageNumber"/>
      </w:rPr>
      <w:fldChar w:fldCharType="end"/>
    </w:r>
    <w:r>
      <w:rPr>
        <w:rStyle w:val="PageNumber"/>
      </w:rPr>
      <w:t>/</w:t>
    </w:r>
    <w:r w:rsidR="00447091">
      <w:rPr>
        <w:rStyle w:val="PageNumber"/>
      </w:rPr>
      <w:fldChar w:fldCharType="begin"/>
    </w:r>
    <w:r>
      <w:rPr>
        <w:rStyle w:val="PageNumber"/>
      </w:rPr>
      <w:instrText xml:space="preserve"> NUMPAGES </w:instrText>
    </w:r>
    <w:r w:rsidR="00447091">
      <w:rPr>
        <w:rStyle w:val="PageNumber"/>
      </w:rPr>
      <w:fldChar w:fldCharType="separate"/>
    </w:r>
    <w:r w:rsidR="00673AB8">
      <w:rPr>
        <w:rStyle w:val="PageNumber"/>
      </w:rPr>
      <w:t>2</w:t>
    </w:r>
    <w:r w:rsidR="0044709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142" w:rsidRDefault="00BD0142">
      <w:r>
        <w:separator/>
      </w:r>
    </w:p>
  </w:footnote>
  <w:footnote w:type="continuationSeparator" w:id="0">
    <w:p w:rsidR="00BD0142" w:rsidRDefault="00BD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rsidR="00447091">
      <w:fldChar w:fldCharType="begin"/>
    </w:r>
    <w:r>
      <w:instrText>PAGE</w:instrText>
    </w:r>
    <w:r w:rsidR="00447091">
      <w:fldChar w:fldCharType="separate"/>
    </w:r>
    <w:r>
      <w:t>4</w:t>
    </w:r>
    <w:r w:rsidR="0044709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D073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ECB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C9F4A"/>
    <w:lvl w:ilvl="0">
      <w:start w:val="1"/>
      <w:numFmt w:val="decimal"/>
      <w:lvlText w:val="%1."/>
      <w:lvlJc w:val="left"/>
      <w:pPr>
        <w:tabs>
          <w:tab w:val="num" w:pos="926"/>
        </w:tabs>
        <w:ind w:left="926" w:hanging="360"/>
      </w:pPr>
    </w:lvl>
  </w:abstractNum>
  <w:abstractNum w:abstractNumId="3" w15:restartNumberingAfterBreak="0">
    <w:nsid w:val="00306A61"/>
    <w:multiLevelType w:val="hybridMultilevel"/>
    <w:tmpl w:val="478AEDF2"/>
    <w:lvl w:ilvl="0" w:tplc="3CDA0B7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6A69C9"/>
    <w:multiLevelType w:val="hybridMultilevel"/>
    <w:tmpl w:val="018EE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1D40D7"/>
    <w:multiLevelType w:val="hybridMultilevel"/>
    <w:tmpl w:val="7CC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1F51"/>
    <w:multiLevelType w:val="hybridMultilevel"/>
    <w:tmpl w:val="385A3CA6"/>
    <w:lvl w:ilvl="0" w:tplc="39BC465C">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5A36F2"/>
    <w:multiLevelType w:val="hybridMultilevel"/>
    <w:tmpl w:val="288AB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F66CCA"/>
    <w:multiLevelType w:val="hybridMultilevel"/>
    <w:tmpl w:val="B75E04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A717770"/>
    <w:multiLevelType w:val="hybridMultilevel"/>
    <w:tmpl w:val="8CB4720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0310C9D"/>
    <w:multiLevelType w:val="hybridMultilevel"/>
    <w:tmpl w:val="4626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60CB4"/>
    <w:multiLevelType w:val="hybridMultilevel"/>
    <w:tmpl w:val="26C6C71E"/>
    <w:lvl w:ilvl="0" w:tplc="064023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5A1768"/>
    <w:multiLevelType w:val="hybridMultilevel"/>
    <w:tmpl w:val="DBE0CC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2"/>
  </w:num>
  <w:num w:numId="11">
    <w:abstractNumId w:val="1"/>
  </w:num>
  <w:num w:numId="12">
    <w:abstractNumId w:val="0"/>
  </w:num>
  <w:num w:numId="13">
    <w:abstractNumId w:val="16"/>
  </w:num>
  <w:num w:numId="14">
    <w:abstractNumId w:val="5"/>
  </w:num>
  <w:num w:numId="15">
    <w:abstractNumId w:val="21"/>
  </w:num>
  <w:num w:numId="16">
    <w:abstractNumId w:val="3"/>
  </w:num>
  <w:num w:numId="17">
    <w:abstractNumId w:val="11"/>
  </w:num>
  <w:num w:numId="18">
    <w:abstractNumId w:val="11"/>
    <w:lvlOverride w:ilvl="0">
      <w:startOverride w:val="1"/>
    </w:lvlOverride>
  </w:num>
  <w:num w:numId="19">
    <w:abstractNumId w:val="11"/>
  </w:num>
  <w:num w:numId="20">
    <w:abstractNumId w:val="11"/>
    <w:lvlOverride w:ilvl="0">
      <w:startOverride w:val="1"/>
    </w:lvlOverride>
  </w:num>
  <w:num w:numId="21">
    <w:abstractNumId w:val="6"/>
  </w:num>
  <w:num w:numId="22">
    <w:abstractNumId w:val="20"/>
  </w:num>
  <w:num w:numId="23">
    <w:abstractNumId w:val="13"/>
  </w:num>
  <w:num w:numId="24">
    <w:abstractNumId w:val="15"/>
  </w:num>
  <w:num w:numId="25">
    <w:abstractNumId w:val="19"/>
  </w:num>
  <w:num w:numId="26">
    <w:abstractNumId w:val="18"/>
  </w:num>
  <w:num w:numId="27">
    <w:abstractNumId w:val="22"/>
  </w:num>
  <w:num w:numId="28">
    <w:abstractNumId w:val="7"/>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A7D"/>
    <w:rsid w:val="00006B58"/>
    <w:rsid w:val="00007CDC"/>
    <w:rsid w:val="00011B28"/>
    <w:rsid w:val="00015022"/>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691E"/>
    <w:rsid w:val="00070967"/>
    <w:rsid w:val="00077E5F"/>
    <w:rsid w:val="0008036A"/>
    <w:rsid w:val="00081AE6"/>
    <w:rsid w:val="0008508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0D1"/>
    <w:rsid w:val="000D0D07"/>
    <w:rsid w:val="000D4797"/>
    <w:rsid w:val="000E0527"/>
    <w:rsid w:val="000E1E92"/>
    <w:rsid w:val="000F06D6"/>
    <w:rsid w:val="000F0EB1"/>
    <w:rsid w:val="000F1106"/>
    <w:rsid w:val="000F3BE9"/>
    <w:rsid w:val="000F3F6C"/>
    <w:rsid w:val="000F6DF3"/>
    <w:rsid w:val="001005FF"/>
    <w:rsid w:val="001062FB"/>
    <w:rsid w:val="001063E6"/>
    <w:rsid w:val="00110569"/>
    <w:rsid w:val="00113CF4"/>
    <w:rsid w:val="001153EA"/>
    <w:rsid w:val="00115643"/>
    <w:rsid w:val="00116462"/>
    <w:rsid w:val="00116765"/>
    <w:rsid w:val="001219F5"/>
    <w:rsid w:val="00121A20"/>
    <w:rsid w:val="00122F2E"/>
    <w:rsid w:val="0012377F"/>
    <w:rsid w:val="00124314"/>
    <w:rsid w:val="00126B4A"/>
    <w:rsid w:val="001314E3"/>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05F6"/>
    <w:rsid w:val="001C1CE5"/>
    <w:rsid w:val="001C3D2A"/>
    <w:rsid w:val="001C6495"/>
    <w:rsid w:val="001D323C"/>
    <w:rsid w:val="001D51BA"/>
    <w:rsid w:val="001D6342"/>
    <w:rsid w:val="001D6D53"/>
    <w:rsid w:val="001E58E2"/>
    <w:rsid w:val="001E7AED"/>
    <w:rsid w:val="001F005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726"/>
    <w:rsid w:val="00235632"/>
    <w:rsid w:val="00235872"/>
    <w:rsid w:val="00241559"/>
    <w:rsid w:val="002435B3"/>
    <w:rsid w:val="002458EB"/>
    <w:rsid w:val="002500C8"/>
    <w:rsid w:val="00255A8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08D"/>
    <w:rsid w:val="002907B5"/>
    <w:rsid w:val="00292EB7"/>
    <w:rsid w:val="00295D3E"/>
    <w:rsid w:val="00296227"/>
    <w:rsid w:val="00296F44"/>
    <w:rsid w:val="0029777D"/>
    <w:rsid w:val="002A055E"/>
    <w:rsid w:val="002A1D4E"/>
    <w:rsid w:val="002A2869"/>
    <w:rsid w:val="002B24D6"/>
    <w:rsid w:val="002C41E6"/>
    <w:rsid w:val="002D071A"/>
    <w:rsid w:val="002D1645"/>
    <w:rsid w:val="002D34B2"/>
    <w:rsid w:val="002D7637"/>
    <w:rsid w:val="002E17F2"/>
    <w:rsid w:val="002E743E"/>
    <w:rsid w:val="002E7CAE"/>
    <w:rsid w:val="002F2771"/>
    <w:rsid w:val="002F37A9"/>
    <w:rsid w:val="00301CE6"/>
    <w:rsid w:val="0030256B"/>
    <w:rsid w:val="0030501F"/>
    <w:rsid w:val="00306CE3"/>
    <w:rsid w:val="00307BA1"/>
    <w:rsid w:val="00311702"/>
    <w:rsid w:val="00311E82"/>
    <w:rsid w:val="00313FD6"/>
    <w:rsid w:val="003143BD"/>
    <w:rsid w:val="00317B01"/>
    <w:rsid w:val="003203ED"/>
    <w:rsid w:val="00322C9F"/>
    <w:rsid w:val="00324D23"/>
    <w:rsid w:val="00327482"/>
    <w:rsid w:val="00331751"/>
    <w:rsid w:val="00334579"/>
    <w:rsid w:val="00335858"/>
    <w:rsid w:val="00336BDA"/>
    <w:rsid w:val="0034184D"/>
    <w:rsid w:val="00342BD7"/>
    <w:rsid w:val="00343A07"/>
    <w:rsid w:val="00346DB5"/>
    <w:rsid w:val="003477B1"/>
    <w:rsid w:val="0035482C"/>
    <w:rsid w:val="00357380"/>
    <w:rsid w:val="003602D9"/>
    <w:rsid w:val="003604CE"/>
    <w:rsid w:val="00370E47"/>
    <w:rsid w:val="003742AC"/>
    <w:rsid w:val="00376F0E"/>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EA8"/>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091"/>
    <w:rsid w:val="004517AA"/>
    <w:rsid w:val="00452CAC"/>
    <w:rsid w:val="004544EE"/>
    <w:rsid w:val="0045738B"/>
    <w:rsid w:val="00457565"/>
    <w:rsid w:val="00457B71"/>
    <w:rsid w:val="00465F3A"/>
    <w:rsid w:val="004669E2"/>
    <w:rsid w:val="00470C31"/>
    <w:rsid w:val="004734D0"/>
    <w:rsid w:val="0047556B"/>
    <w:rsid w:val="00477768"/>
    <w:rsid w:val="00492BC5"/>
    <w:rsid w:val="004964F1"/>
    <w:rsid w:val="00497C21"/>
    <w:rsid w:val="004A0130"/>
    <w:rsid w:val="004A16BC"/>
    <w:rsid w:val="004A2B94"/>
    <w:rsid w:val="004B504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6A12"/>
    <w:rsid w:val="00537C62"/>
    <w:rsid w:val="00546970"/>
    <w:rsid w:val="00551F00"/>
    <w:rsid w:val="00554E19"/>
    <w:rsid w:val="00560C69"/>
    <w:rsid w:val="0056121F"/>
    <w:rsid w:val="00561D18"/>
    <w:rsid w:val="005623B2"/>
    <w:rsid w:val="00570E54"/>
    <w:rsid w:val="00572505"/>
    <w:rsid w:val="00580202"/>
    <w:rsid w:val="00582065"/>
    <w:rsid w:val="00582809"/>
    <w:rsid w:val="0058798C"/>
    <w:rsid w:val="005900FA"/>
    <w:rsid w:val="005935A4"/>
    <w:rsid w:val="005948C2"/>
    <w:rsid w:val="00595DCA"/>
    <w:rsid w:val="0059779B"/>
    <w:rsid w:val="005A209A"/>
    <w:rsid w:val="005A662D"/>
    <w:rsid w:val="005A6A69"/>
    <w:rsid w:val="005B35D7"/>
    <w:rsid w:val="005B392A"/>
    <w:rsid w:val="005B3AA3"/>
    <w:rsid w:val="005B6F83"/>
    <w:rsid w:val="005C74FB"/>
    <w:rsid w:val="005D1602"/>
    <w:rsid w:val="005E385F"/>
    <w:rsid w:val="005E5B81"/>
    <w:rsid w:val="005F19BF"/>
    <w:rsid w:val="005F2CB1"/>
    <w:rsid w:val="005F3025"/>
    <w:rsid w:val="005F32D7"/>
    <w:rsid w:val="005F4D03"/>
    <w:rsid w:val="005F618C"/>
    <w:rsid w:val="005F70BD"/>
    <w:rsid w:val="0060283C"/>
    <w:rsid w:val="00604F14"/>
    <w:rsid w:val="00605F62"/>
    <w:rsid w:val="006100D8"/>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3D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AB8"/>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22A"/>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A37"/>
    <w:rsid w:val="007022D0"/>
    <w:rsid w:val="0070346E"/>
    <w:rsid w:val="00704EDB"/>
    <w:rsid w:val="0070537F"/>
    <w:rsid w:val="00706101"/>
    <w:rsid w:val="00707072"/>
    <w:rsid w:val="00707D61"/>
    <w:rsid w:val="00712287"/>
    <w:rsid w:val="00712772"/>
    <w:rsid w:val="007148D3"/>
    <w:rsid w:val="00714C18"/>
    <w:rsid w:val="00715B9A"/>
    <w:rsid w:val="00721593"/>
    <w:rsid w:val="00726BD8"/>
    <w:rsid w:val="00726EA6"/>
    <w:rsid w:val="00727208"/>
    <w:rsid w:val="00727680"/>
    <w:rsid w:val="007348B1"/>
    <w:rsid w:val="00734B23"/>
    <w:rsid w:val="007362A6"/>
    <w:rsid w:val="00736D7D"/>
    <w:rsid w:val="00740E58"/>
    <w:rsid w:val="0074405B"/>
    <w:rsid w:val="007445A0"/>
    <w:rsid w:val="0074524B"/>
    <w:rsid w:val="007457F5"/>
    <w:rsid w:val="00747D8B"/>
    <w:rsid w:val="00751228"/>
    <w:rsid w:val="007571E1"/>
    <w:rsid w:val="007604B2"/>
    <w:rsid w:val="00765281"/>
    <w:rsid w:val="00766BAD"/>
    <w:rsid w:val="007730BD"/>
    <w:rsid w:val="007755F2"/>
    <w:rsid w:val="00776971"/>
    <w:rsid w:val="0078177E"/>
    <w:rsid w:val="0078304C"/>
    <w:rsid w:val="00783673"/>
    <w:rsid w:val="00785490"/>
    <w:rsid w:val="0078758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5E2"/>
    <w:rsid w:val="00803FAE"/>
    <w:rsid w:val="0080605F"/>
    <w:rsid w:val="00807786"/>
    <w:rsid w:val="00811FCB"/>
    <w:rsid w:val="008158D6"/>
    <w:rsid w:val="00817196"/>
    <w:rsid w:val="00817EDE"/>
    <w:rsid w:val="00822081"/>
    <w:rsid w:val="008235DB"/>
    <w:rsid w:val="00824AB4"/>
    <w:rsid w:val="00825C42"/>
    <w:rsid w:val="00825D25"/>
    <w:rsid w:val="00827D6F"/>
    <w:rsid w:val="008376AC"/>
    <w:rsid w:val="008444E8"/>
    <w:rsid w:val="00844E80"/>
    <w:rsid w:val="008462D9"/>
    <w:rsid w:val="00846FE7"/>
    <w:rsid w:val="00850CEC"/>
    <w:rsid w:val="00856911"/>
    <w:rsid w:val="00865C5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6C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B81"/>
    <w:rsid w:val="0092753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97E"/>
    <w:rsid w:val="00994DCA"/>
    <w:rsid w:val="009960EC"/>
    <w:rsid w:val="009970DD"/>
    <w:rsid w:val="009A0309"/>
    <w:rsid w:val="009A0FBA"/>
    <w:rsid w:val="009A10B1"/>
    <w:rsid w:val="009A1601"/>
    <w:rsid w:val="009A462D"/>
    <w:rsid w:val="009A5237"/>
    <w:rsid w:val="009A5CBA"/>
    <w:rsid w:val="009B0900"/>
    <w:rsid w:val="009B1F30"/>
    <w:rsid w:val="009B3AC2"/>
    <w:rsid w:val="009B4DF4"/>
    <w:rsid w:val="009B564E"/>
    <w:rsid w:val="009B7E87"/>
    <w:rsid w:val="009C403E"/>
    <w:rsid w:val="009D4FF0"/>
    <w:rsid w:val="009D703C"/>
    <w:rsid w:val="009D718F"/>
    <w:rsid w:val="009E068F"/>
    <w:rsid w:val="009E14E0"/>
    <w:rsid w:val="009E1D32"/>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5134"/>
    <w:rsid w:val="00A36297"/>
    <w:rsid w:val="00A40EAD"/>
    <w:rsid w:val="00A41E2B"/>
    <w:rsid w:val="00A45B74"/>
    <w:rsid w:val="00A47EC0"/>
    <w:rsid w:val="00A52E1D"/>
    <w:rsid w:val="00A53DD5"/>
    <w:rsid w:val="00A61499"/>
    <w:rsid w:val="00A62A77"/>
    <w:rsid w:val="00A63483"/>
    <w:rsid w:val="00A657D7"/>
    <w:rsid w:val="00A660AC"/>
    <w:rsid w:val="00A67E6C"/>
    <w:rsid w:val="00A71B99"/>
    <w:rsid w:val="00A739D0"/>
    <w:rsid w:val="00A761D4"/>
    <w:rsid w:val="00A77EC4"/>
    <w:rsid w:val="00A9243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CE9"/>
    <w:rsid w:val="00AF1C5D"/>
    <w:rsid w:val="00AF42D7"/>
    <w:rsid w:val="00B006FE"/>
    <w:rsid w:val="00B007CB"/>
    <w:rsid w:val="00B02AA9"/>
    <w:rsid w:val="00B02FA3"/>
    <w:rsid w:val="00B05084"/>
    <w:rsid w:val="00B11CD0"/>
    <w:rsid w:val="00B1377F"/>
    <w:rsid w:val="00B157F9"/>
    <w:rsid w:val="00B167F1"/>
    <w:rsid w:val="00B20256"/>
    <w:rsid w:val="00B20D09"/>
    <w:rsid w:val="00B2763F"/>
    <w:rsid w:val="00B27AAC"/>
    <w:rsid w:val="00B301A0"/>
    <w:rsid w:val="00B30929"/>
    <w:rsid w:val="00B372AA"/>
    <w:rsid w:val="00B40445"/>
    <w:rsid w:val="00B40634"/>
    <w:rsid w:val="00B409BE"/>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2CA3"/>
    <w:rsid w:val="00BA56D2"/>
    <w:rsid w:val="00BA76E0"/>
    <w:rsid w:val="00BB2A25"/>
    <w:rsid w:val="00BB51E9"/>
    <w:rsid w:val="00BC0FDC"/>
    <w:rsid w:val="00BC3053"/>
    <w:rsid w:val="00BC4D2E"/>
    <w:rsid w:val="00BD0142"/>
    <w:rsid w:val="00BD48AC"/>
    <w:rsid w:val="00BD5F1A"/>
    <w:rsid w:val="00BE110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AC8"/>
    <w:rsid w:val="00C07377"/>
    <w:rsid w:val="00C10478"/>
    <w:rsid w:val="00C12107"/>
    <w:rsid w:val="00C14D4B"/>
    <w:rsid w:val="00C154BB"/>
    <w:rsid w:val="00C169B1"/>
    <w:rsid w:val="00C26FAA"/>
    <w:rsid w:val="00C279B5"/>
    <w:rsid w:val="00C27C45"/>
    <w:rsid w:val="00C3719D"/>
    <w:rsid w:val="00C37477"/>
    <w:rsid w:val="00C374BF"/>
    <w:rsid w:val="00C50EEC"/>
    <w:rsid w:val="00C54995"/>
    <w:rsid w:val="00C54D41"/>
    <w:rsid w:val="00C60783"/>
    <w:rsid w:val="00C64672"/>
    <w:rsid w:val="00C70697"/>
    <w:rsid w:val="00C72EF4"/>
    <w:rsid w:val="00C75D2F"/>
    <w:rsid w:val="00C767BE"/>
    <w:rsid w:val="00C76963"/>
    <w:rsid w:val="00C76E3C"/>
    <w:rsid w:val="00C81568"/>
    <w:rsid w:val="00C9027A"/>
    <w:rsid w:val="00C9068E"/>
    <w:rsid w:val="00C92CDB"/>
    <w:rsid w:val="00C93C4B"/>
    <w:rsid w:val="00C944AB"/>
    <w:rsid w:val="00C95B40"/>
    <w:rsid w:val="00CA1ED8"/>
    <w:rsid w:val="00CB1F63"/>
    <w:rsid w:val="00CB5031"/>
    <w:rsid w:val="00CB7170"/>
    <w:rsid w:val="00CC040E"/>
    <w:rsid w:val="00CC111F"/>
    <w:rsid w:val="00CC2011"/>
    <w:rsid w:val="00CC3EA0"/>
    <w:rsid w:val="00CC7B45"/>
    <w:rsid w:val="00CD1188"/>
    <w:rsid w:val="00CD155C"/>
    <w:rsid w:val="00CD2ED1"/>
    <w:rsid w:val="00CD337B"/>
    <w:rsid w:val="00CE0424"/>
    <w:rsid w:val="00CE7561"/>
    <w:rsid w:val="00CE7E53"/>
    <w:rsid w:val="00CF1354"/>
    <w:rsid w:val="00CF1F53"/>
    <w:rsid w:val="00CF3B1F"/>
    <w:rsid w:val="00CF3BF6"/>
    <w:rsid w:val="00CF625B"/>
    <w:rsid w:val="00CF687E"/>
    <w:rsid w:val="00D0349B"/>
    <w:rsid w:val="00D03B91"/>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071"/>
    <w:rsid w:val="00D546FF"/>
    <w:rsid w:val="00D55AD5"/>
    <w:rsid w:val="00D576CA"/>
    <w:rsid w:val="00D60E13"/>
    <w:rsid w:val="00D61AF5"/>
    <w:rsid w:val="00D62CD5"/>
    <w:rsid w:val="00D6435F"/>
    <w:rsid w:val="00D652B5"/>
    <w:rsid w:val="00D66155"/>
    <w:rsid w:val="00D708B0"/>
    <w:rsid w:val="00D70E73"/>
    <w:rsid w:val="00D73485"/>
    <w:rsid w:val="00D77B1D"/>
    <w:rsid w:val="00D8021F"/>
    <w:rsid w:val="00D80383"/>
    <w:rsid w:val="00D823C6"/>
    <w:rsid w:val="00D86CA3"/>
    <w:rsid w:val="00D871CE"/>
    <w:rsid w:val="00D90E51"/>
    <w:rsid w:val="00D9196D"/>
    <w:rsid w:val="00D92982"/>
    <w:rsid w:val="00DA1A8A"/>
    <w:rsid w:val="00DA305E"/>
    <w:rsid w:val="00DA5007"/>
    <w:rsid w:val="00DA5417"/>
    <w:rsid w:val="00DA56E8"/>
    <w:rsid w:val="00DB0250"/>
    <w:rsid w:val="00DB0A9F"/>
    <w:rsid w:val="00DB28A9"/>
    <w:rsid w:val="00DB377D"/>
    <w:rsid w:val="00DC2D36"/>
    <w:rsid w:val="00DC53EF"/>
    <w:rsid w:val="00DE3499"/>
    <w:rsid w:val="00DE5608"/>
    <w:rsid w:val="00DE58D0"/>
    <w:rsid w:val="00DE654F"/>
    <w:rsid w:val="00DF0B6E"/>
    <w:rsid w:val="00DF15E0"/>
    <w:rsid w:val="00DF37A0"/>
    <w:rsid w:val="00DF5C56"/>
    <w:rsid w:val="00E110E7"/>
    <w:rsid w:val="00E11B20"/>
    <w:rsid w:val="00E17FA2"/>
    <w:rsid w:val="00E22330"/>
    <w:rsid w:val="00E27D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981"/>
    <w:rsid w:val="00E54E3B"/>
    <w:rsid w:val="00E57565"/>
    <w:rsid w:val="00E6177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F73"/>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1CE"/>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AD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2C1A32-984A-4D9E-9E9E-8545F605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78758D"/>
    <w:pPr>
      <w:ind w:left="720"/>
      <w:contextualSpacing/>
    </w:pPr>
  </w:style>
  <w:style w:type="table" w:styleId="TableGrid">
    <w:name w:val="Table Grid"/>
    <w:basedOn w:val="TableNormal"/>
    <w:rsid w:val="00865C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E3499"/>
    <w:rPr>
      <w:rFonts w:ascii="Arial" w:hAnsi="Arial"/>
      <w:lang w:val="en-GB" w:eastAsia="en-US"/>
    </w:rPr>
  </w:style>
  <w:style w:type="character" w:customStyle="1" w:styleId="HeaderChar">
    <w:name w:val="Header Char"/>
    <w:basedOn w:val="DefaultParagraphFont"/>
    <w:link w:val="Header"/>
    <w:rsid w:val="00B301A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58502">
      <w:bodyDiv w:val="1"/>
      <w:marLeft w:val="0"/>
      <w:marRight w:val="0"/>
      <w:marTop w:val="0"/>
      <w:marBottom w:val="0"/>
      <w:divBdr>
        <w:top w:val="none" w:sz="0" w:space="0" w:color="auto"/>
        <w:left w:val="none" w:sz="0" w:space="0" w:color="auto"/>
        <w:bottom w:val="none" w:sz="0" w:space="0" w:color="auto"/>
        <w:right w:val="none" w:sz="0" w:space="0" w:color="auto"/>
      </w:divBdr>
    </w:div>
    <w:div w:id="156861534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45C21-A7DB-4563-9EF7-7D14F11C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38</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12</cp:revision>
  <cp:lastPrinted>2008-01-31T06:09:00Z</cp:lastPrinted>
  <dcterms:created xsi:type="dcterms:W3CDTF">2017-05-28T15:55:00Z</dcterms:created>
  <dcterms:modified xsi:type="dcterms:W3CDTF">2017-05-29T16:10:00Z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